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28</w:t>
      </w:r>
    </w:p>
    <w:p>
      <w:r>
        <w:t>Bundesgericht (BGE), 2012-11-15, DE</w:t>
      </w:r>
    </w:p>
    <w:p>
      <w:r>
        <w:rPr>
          <w:b/>
        </w:rPr>
        <w:t xml:space="preserve">Quelle: </w:t>
      </w:r>
      <w:r>
        <w:t>https://mcp.opencaselaw.ch/entscheid/bge_139 II 28</w:t>
      </w:r>
    </w:p>
    <w:p>
      <w:r>
        <w:t>FR: ATF 139 II 28</w:t>
      </w:r>
    </w:p>
    <w:p>
      <w:r>
        <w:t>IT: DTF 139 II 28</w:t>
      </w:r>
    </w:p>
    <w:p>
      <w:pPr>
        <w:pStyle w:val="Heading2"/>
      </w:pPr>
      <w:r>
        <w:t>Regeste</w:t>
      </w:r>
    </w:p>
    <w:p>
      <w:r>
        <w:t>Regeste a Restwassersanierung nach Art. 80 Abs. 1 GSchG. Sanierungsmassnahmen sind Eigentumsbeschränkungen, die die Voraussetzungen von Art. 36 BV erfüllen, d.h. im öffentlichen Interesse liegen und verhältnismässig sein müssen. Der Gesetzgeber hat im Rahmen von Art. 80 Abs. 1 GSchG die Interessenabwägung in generell-abstrakter Weise vorgenommen und entschieden, dass Sanierungen bis zur Entschädigungsschwelle einem überwiegenden öffentlichen Interesse entsprechen und zumutbar sind (E. 2.7.1). Sanierungen sind zulässig, soweit hierdurch nicht in die Substanz bestehender wohlerworbener Rechte eingegriffen wird. Ob ein staatlicher Eingriff die Substanz respektiert, beurteilt sich nach der verbleibenden oder fehlenden wirtschaftlichen Tragbarkeit des Eingriffs für den Träger des Rechts. Das Kriterium der wirtschaftlichen Tragbarkeit ist darauf gerichtet, den Wert rechtmässig getätigter Investitionen zu bewahren (E. 2.7.2). Zur Bestimmung des Umfangs der Sanierungspflicht ist es sachgerecht, von der durchschnittlichen Produktion der Werkanlagen über einen genügend langen, repräsentativen Zeitraum auszugehen. Im Weiteren sind die möglichen Sanierungsmassnahmen und deren ökologisches Potenzial zu evaluieren und die auf die einzelnen Massnahmen entfallenden Produktionseinbussen und Erlösminderungen konkret zu ermitteln. Alsdann ist ein sinnvolles Massnahmenpaket zusammenzustellen und zu bestimmen, ob dieses den Rahmen der zulässigen Einschränkungen ausschöpft, ohne ihn zu überschreiten. Bei einer Sanierung im Sinne von Art. 80 Abs. 1 GSchG ist diejenige Variante zu wählen, welche unter Berücksichtigung der Grenze der wirtschaftlichen Tragbarkeit das optimale ökologische Nutzenverhältnis bzw. ökologische Potenzial aufweist (E. 2.7.3). Zur Ermittlung des Umfangs der trag- bzw. zumutbaren Einschränkungen ist auf die konkreten betrieblichen Verhältnisse des konzessionierten Werks abzustellen. Zu berücksichtigen sind insbesondere der Gewinn, die Konzessionsdauer und der Umfang der bereits erfolgten Abschreibungen. Bei guter bis sehr guter Ertragslage und entsprechend abgeschriebenen Anlagen können sich Sanierungsmassnahmen rechtfertigen, die Produktions- bzw. Erlösminderungen von über 5 % zur Folge haben (E. 2.7.4).</w:t>
      </w:r>
    </w:p>
    <w:p>
      <w:r>
        <w:t>Regeste b Restwassersanierung nach Art. 80 Abs. 2 GSchG. Im Rahmen von Art. 80 Abs. 2 GSchG ist für denjenigen Teil der Sanierung, welcher über das nach Art. 80 Abs. 1 GSchG Gebotene hinausgeht, eine Interessenabwägung vorzunehmen. Ausgangspunkt bilden insbesondere die Schutzziele der Inventarobjekte. Sanierungsmassnahmen nach Art. 80 Abs. 2 GSchG sind nur so weit anzuordnen, als es zur dringend notwendigen Verbesserung der Situation geboten ist (E. 3.7).</w:t>
      </w:r>
    </w:p>
    <w:p>
      <w:pPr>
        <w:pStyle w:val="Heading2"/>
      </w:pPr>
      <w:r>
        <w:t>Erwägungen</w:t>
      </w:r>
    </w:p>
    <w:p>
      <w:r>
        <w:rPr>
          <w:b/>
        </w:rPr>
        <w:t>E. 2.1</w:t>
      </w:r>
    </w:p>
    <w:p>
      <w:r>
        <w:t>Gemäss Art. 80 Abs. 1 GSchG muss ein Fliessgewässer, welches durch Wasserentnahmen wesentlich beeinflusst wird, unterhalb der Entnahmestellen nach den Anordnungen der Behörde so weit saniert werden, als dies ohne entschädigungsbegründende Eingriffe in bestehende Wassernutzungsrechte möglich ist. (...)</w:t>
      </w:r>
    </w:p>
    <w:p>
      <w:r>
        <w:rPr>
          <w:b/>
        </w:rPr>
        <w:t>E. 2.7.1</w:t>
      </w:r>
    </w:p>
    <w:p>
      <w:r>
        <w:t>Sanierungsmassnahmen sind Eigentumsbeschränkungen, die die Voraussetzungen von Art. 36 BV erfüllen, d.h. im öffentlichen Interesse liegen und verhältnismässig sein müssen. Der Gesetzgeber hat im Rahmen von Art. 80 Abs. 1 GSchG die Interessenabwägung in generell-abstrakter Weise vorgenommen und entschieden, dass Sanierungen bis zur Entschädigungsschwelle einem überwiegenden öffentlichen Interesse entsprechen (vgl. ENRICO RIVA, Wohlerworbene Rechte - Eigentum - Vertrauen, 2007, S. 144). Der Grundsatz der Verhältnismässigkeit ist bei Gewässersanierungen jedoch im Einzelfall zu beachten. Es dürfen daher nur Massnahmen angeordnet werden, die effektiv geeignet sind, bestehende Beeinträchtigungen eines Fliessgewässers zu vermindern, und es darf keine Massnahme verlangt werden, wenn die gleiche Sanierungswirkung mit anderen, für die Inhaber der Wasserrechte weniger einschneidenden Vorkehren erreicht werden kann. Das weitere Kriterium der Zumutbarkeit (Verhältnismässigkeit im engeren Sinn) ist im Rahmen der Anwendung von Art. 80 Abs. 1 GSchG vom Gesetzgeber durch die Entschädigungsschwelle bereits weitgehend vorab entschieden worden (RIVA, a.a.O., S. 146 f.). Dies bedeutet mit anderen Worten: Kann mit einer Sanierung keine nennenswerte Verbesserung erreicht werden, fehlt ein öffentliches Interesse und sind die Sanierungsmassnahmen unverhältnismässig. Im Übrigen aber, soweit eine namhafte Verbesserung erreicht werden kann, besteht gemäss Art. 80 Abs. 1 GSchG BGE 139 II 28 S. 34 eine Sanierungspflicht bis zur Entschädigungsschwelle und entfällt eine weitere Interessenabwägung und Verhältnismässigkeitsprüfung. Soweit die Vorinstanz in diesem Zusammenhang auf BGE 110 lb 160 und auf das Urteil des Bundesgerichts 1A.320/2000 /1P.786/2000 vom 20. September 2001 verweist, um zu begründen, dass eine weitergehende Interessenabwägung durchzuführen ist, ist ihre Argumentation nicht stichhaltig. In BGE 110 Ib 160 stand nicht die Anwendung von Art. 80 Abs. 1 GSchG , sondern jene von aArt. 26 des Bundesgesetzes vom 21. Juni 1991 über die Fischerei (BGF; SR 923.0) zur Diskussion. Nach dieser Bestimmung waren Massnahmen für bestehende Anlagen zum Schutz oder zur Wiederherstellung von Fischgewässern vorzuschreiben, sofern die entstehende wirtschaftliche oder finanzielle Belastung nicht übermässig gross war. Im Gegensatz zu Art. 80 Abs. 1 GSchG sah aArt. 26 BGF somit eine Interessenabwägung ausdrücklich vor. Beim Entscheid 1A.320/2000/1P.786/2000 ging es in der Sache um eine weitergehende Sanierung nach Art. 80 Abs. 2 GSchG , weshalb sich aus den diesbezüglichen Ausführungen für den zu beurteilenden Fall nichts unmittelbar ableiten lässt (vgl. insoweit nachfolgend E. 3.7). Das von der Vorinstanz angeführte Interesse an der verstärkten Förderung der Wasserkraft aufgrund des geplanten Ausstiegs aus der Kernenergie und die von ihr genannten Gefahren des Verlusts von Arbeitsplätzen und von Steuerausfällen bei zu einschneidenden Sanierungsmassnahmen sind deshalb im Rahmen von Art. 80 Abs. 1 GSchG nicht zu berücksichtigen und können das gesetzlich umschriebene Interesse an der Sanierung der Wasserentnahmen nicht schmälern.</w:t>
      </w:r>
    </w:p>
    <w:p>
      <w:r>
        <w:rPr>
          <w:b/>
        </w:rPr>
        <w:t>E. 2.7.2</w:t>
      </w:r>
    </w:p>
    <w:p>
      <w:r>
        <w:t>Sanierungen nach Art. 80 Abs. 1 GSchG sind nur zulässig, soweit hierdurch nicht in die Substanz bestehender wohlerworbener Rechte eingegriffen wird. Ob ein staatlicher Eingriff die Substanz respektiert, beurteilt sich nach der wirtschaftlichen Tragbarkeit des Eingriffs für den Träger des Rechts (vgl. RIVA, a.a.O., S. 156). Das Kriterium der wirtschaftlichen Tragbarkeit ist darauf gerichtet, den Wert rechtmässig getätigter Investitionen zu bewahren. Wer die aus dem wohlerworbenen Recht fliessenden Befugnisse umsetzt und zu diesem Zweck Investitionen tätigt, soll bezüglich der wirtschaftlichen Folgen, in deren Erwartung er seinen Investitionsentscheid fällte, vor staatlichen Beeinträchtigungen geschützt sein. Es muss möglich sein, während der angenommenen Existenzdauer des BGE 139 II 28 S. 35 geschaffenen Werks die Investitionen zu amortisieren, fremdes und eigenes Kapital angemessen zu verzinsen, die laufenden Kosten zu decken und eine ausreichende Liquidität aufrechtzuerhalten. Um diese Ziele zu erreichen, muss das Werk den nötigen Ertrag abwerfen. Wirtschaftlich tragbar sind staatliche Eingriffe daher, wenn sie in ihren Auswirkungen diese Mindestrentabilität des Werks intakt lassen. Das Kriterium der wirtschaftlichen Tragbarkeit ist folglich auf die Erhaltung der wirtschaftlichen Existenzfähigkeit eines Werks und auf den Investitionsschutz ausgerichtet und basiert damit auf den gleichen Prinzipien, welche die Eigentumsgarantie und den Vertrauensschutz bestimmen ( BGE 138 II 575 E. 4.5 S. 582 f.; vgl. hierzu auch BGE 127 II 69 E. 5a S. 75 f.; BGE 126 II 171 E. 4b S. 181 f.; BGE 125 II 591 E. 6a und b S. 600 f.; RIVA, a.a.O., S. 114 f.).</w:t>
      </w:r>
    </w:p>
    <w:p>
      <w:r>
        <w:rPr>
          <w:b/>
        </w:rPr>
        <w:t>E. 2.7.3</w:t>
      </w:r>
    </w:p>
    <w:p>
      <w:r>
        <w:t>In der Botschaft vom 29. April 1987 zur Volksinitiative "zur Rettung unserer Gewässer" und zur Revision des GSchG hielt der Bundesrat fest, die zuständige Behörde werde verpflichtet, alle bis zur Grenze der Entschädigungspflicht bestehenden Sanierungsmöglichkeiten voll auszuschöpfen (BBl 1987 II 1170 zu Art. 79 Abs. 1). Zur Bestimmung des Umfangs der Sanierungspflicht ist es sachgerecht, von der durchschnittlichen Produktion der Werkanlagen über einen genügend langen, repräsentativen Zeitraum auszugehen. Im Weiteren sind die möglichen Sanierungsmassnahmen und deren ökologisches Potenzial zu evaluieren und die auf die einzelnen Massnahmen entfallenden Produktionseinbussen und Erlösminderungen konkret zu ermitteln. Alsdann ist ein sinnvolles Massnahmenpaket zusammenzustellen und zu bestimmen, ob dieses den Rahmen der zulässigen Einschränkungen ausschöpft, ohne ihn zu überschreiten. Bei einer Sanierung im Sinne von Art. 80 Abs. 1 GSchG ist diejenige Variante zu wählen, welche unter Berücksichtigung der Grenze der wirtschaftlichen Tragbarkeit das optimalste ökologische Nutzenverhältnis bzw. ökologische Potenzial aufweist (MAURUS ECKERT, Rechtliche Aspekte der Sicherung angemessener Restwassermengen, 2002, S. 165). Die kantonalen Behörden verfügen über einen Ermessens- und Beurteilungsspielraum, was die Wahl des Sanierungskonzepts, die Auswahl der sanierungswürdigen Entnahmen und die im Einzelnen zu treffenden Massnahmen angeht. Bei der Bestimmung des Umfangs der Sanierungspflicht ist der Beurteilungsspielraum hingegen begrenzt, da die Möglichkeiten entschädigungslos hinzunehmender Sanierungsmassnahmen, wie erwähnt, auszuschöpfen sind und diese als zumutbar gelten. BGE 139 II 28 S. 36 Sanierungsziel ist grundsätzlich, dass die Wasserführung den Vorschriften der Art. 31-33 GSchG über die Mindestrestwassermengen möglichst nahekommt bzw. dass der ökologische Zustand der Gewässer mit Entnahmen so optimiert wird, dass er den Verhältnissen bei ausreichender Mindestrestwassermenge möglichst weitgehend entspricht. Die Palette möglicher Sanierungsmassnahmen ist vielfältig. Im Vordergrund steht die gezielte Erhöhung der Dotierwassermenge. Aber auch andere Massnahmen zur Verbesserung der ökologischen Situation (aus gewässerökologischer, fischereilicher, naturschützerischer oder landschaftsschützerischer Sicht betrachtet) sind möglich, insbesondere bauliche und betriebliche. Die Massnahmen lassen sich auch kombinieren, um eine bessere Gesamtwirkung zu erzielen. Sanierungsmassnahmen nach Art. 80 GSchG und solche nach Art. 39a bzw. 43a GSchG (betreffend Schwall/Sunk bzw. Geschiebehaushalt) müssen nicht zusammen angeordnet werden, was sich bereits aus den unterschiedlichen Sanierungsfristen ergibt (vgl. Art. 81 bzw. 83a GSchG). Es steht jedoch nichts entgegen, diese Massnahmen zu koordinieren und gemeinsam zu verfügen, wo dies sinnvoll erscheint oder zur Vermeidung entschädigungspflichtiger Eingriffe nötig ist. Das Gleiche gilt sinngemäss für Bewilligungen nach Art. 40 GSchG (Spülung und Entleerung von Stauräumen).</w:t>
      </w:r>
    </w:p>
    <w:p>
      <w:r>
        <w:rPr>
          <w:b/>
        </w:rPr>
        <w:t>E. 2.7.4</w:t>
      </w:r>
    </w:p>
    <w:p>
      <w:r>
        <w:t>Zur Ermittlung des Umfangs der trag- bzw. zumutbaren Einschränkungen ist auf die konkreten Verhältnisse des konzessionierten Werks und nicht auf ein abstraktes Rechnungsmodell abzustellen. Der Rahmen des entschädigungslos Hinzunehmenden kann nicht ein für alle Mal, für alle Unternehmen gleich bzw. nach schematischen Kriterien festgelegt werden. Er bestimmt sich nach den betrieblichen Verhältnissen. Zu berücksichtigen sind insbesondere der Gewinn, die Konzessionsdauer und der Umfang der bereits erfolgten Abschreibungen (vgl. RIVA, a.a.O., S. 192). Eine Überwälzungsmöglichkeit von Massnahmekosten auf die Konsumenten darf angesichts der Liberalisierung des Strommarkts nur in beschränktem Umfang, nach Massgabe der Strompreisentwicklung, einbezogen werden. Selbst bei relativ ungünstigen betrieblichen Verhältnissen dürften Produktions- bzw. Erlöseinbussen im Umfang von 1-2 % bei Ausschöpfung des Optimierungspotenzials in der Regel noch zumutbar sein. Bei durchschnittlichen Verhältnissen sind wohl Massnahmen BGE 139 II 28 S. 37 mit Produktions- bzw. Erlöseinbussen bis zu 5 % zu erwägen. Bei guter bis sehr guter Ertragslage und entsprechend abgeschriebenen Anlagen können sich Sanierungsmassnahmen rechtfertigen, die noch weiter gehen und Produktions- bzw. Erlösminderungen von über 5 % zur Folge haben (vgl. hierzu RIVA, a.a.O., S. 179 ff., insb. 191 f. mit Hinweisen; vgl. ferner Mitteilung Nr. 25 des BAFU zum Gewässerschutz, Sanierungsbericht Wasserentnahmen, Sanierung nach Art. 80 Abs. 1 GSchG , S. 26).</w:t>
      </w:r>
    </w:p>
    <w:p>
      <w:r>
        <w:rPr>
          <w:b/>
        </w:rPr>
        <w:t>E. 2.8.1</w:t>
      </w:r>
    </w:p>
    <w:p>
      <w:r>
        <w:t>Die Regierung ist von einem Gesamtkonzept zur Sanierung der Entnahmen im Konzessionsgebiet der Beschwerdegegnerin ausgegangen, mit Konzentration auf einzelne, möglichst nutzbringende Massnahmen (Vermeidung des sog. Giesskannenprinzips). Sie hat vorab alle zehn Wasserentnahmen erfasst und die Sanierungsmöglichkeiten evaluiert. Vier Entnahmen wurden als mögliche Sanierungsfälle ausgewählt und näher geprüft. Das Potenzial der übrigen Entnahmen wurde als von vornherein zu gering erachtet (keine ganzjährige oder durchgehende Wasserführung, keine Fischpopulation usw.). Diese Vorgehensweise, d.h. die Konzentration auf die Massnahmen mit dem grössten ökologischen Potenzial, ist sinnvoll und rechtlich zulässig (vgl. E. 2.7.3 hiervor). Die Beschwerdeführer üben am Sanierungskonzept an sich denn auch keine Kritik. Nicht rechtswidrig ist nach dem Ausgeführten (E. 2.7.3) auch der Verzicht auf eine Koordination mit weiteren dereinst erforderlichen Verbesserungen nach Art. 39a GSchG (Schwall/Sunk), Art. 40 GSchG (Spülung und Entleerung von Stauräumen) und Art. 43a GSchG (Geschiebehaushalt).</w:t>
      </w:r>
    </w:p>
    <w:p>
      <w:r>
        <w:rPr>
          <w:b/>
        </w:rPr>
        <w:t>E. 2.8.2</w:t>
      </w:r>
    </w:p>
    <w:p>
      <w:r>
        <w:t>Die Beschwerdeführer sind der Auffassung, die Bevorzugung der Sanierungsvariante bei der Fassung Curina (Moesa) in der beschlossenen Form sei ungenügend abgestützt. Dieser Einwand ist berechtigt: In seinem Bericht zur Sanierung von Gewässern i.S. von Art. 80 Abs. 1 GSchG vom 3. August 2009 kam das ANU bezogen auf die Fassung Curina (Moesa) zum Ergebnis, dass mit einer Reduktion der Dotierwassermenge auf eine Jahreswasserfracht von 4,734 Mio. m</w:t>
      </w:r>
    </w:p>
    <w:p>
      <w:r>
        <w:rPr>
          <w:b/>
        </w:rPr>
        <w:t>E. 2.8.3</w:t>
      </w:r>
    </w:p>
    <w:p>
      <w:r>
        <w:t>Bei guter bis sehr guter Ertragslage können, wie dargelegt (E. 2.7.4 hiervor), Massnahmen angeordnet werden, die Produktions- oder Erlösminderungen von über 5 % zur Folge haben, ohne dass hierdurch die Grenze der wirtschaftlichen Tragbarkeit BGE 139 II 28 S. 39 überschritten wird. Im zu beurteilenden Fall haben die Regierung und die Vorinstanz bei der Festlegung der Obergrenze von 5 % Erlösminderung zu Unrecht eine Interessenabwägung durchgeführt (vgl. E. 2.7.1 hiervor) und zu wenig berücksichtigt, dass sich die Ertragslage der Beschwerdegegnerin nach den vorhandenen Angaben als sehr günstig darstellt. Die Investitionen sind zu einem grossen Teil abgeschrieben und die Gestehungskosten liegen nach den Feststellungen der Regierung bei nur ca. 4,5 Rp./kWh. Geht man von einem Preisniveau von rund 11,5 Rp./kWh aus, so beträgt die Gewinnspanne ungefähr 7 Rp./kWh (vgl. nicht publ. E. 2.3 und den Beschluss der Regierung vom 24. November 2009). Zu berücksichtigen ist weiter, dass die Konzessionen noch lange, nämlich bis 2041/2043 laufen. Bei dieser Ausgangslage ist die Schwelle der wirtschaftlichen Tragbarkeit bei einer Erlösminderung von 5 % noch nicht erreicht. Hiervon geht, wie ausgeführt, auch das BAFU aus, welches Produktionsminderungen von 8 % und mehr in solchen Fallkonstellationen als wirtschaftlich tragbar erachtet (vgl. nicht publ. E. 2.6).</w:t>
      </w:r>
    </w:p>
    <w:p>
      <w:r>
        <w:rPr>
          <w:b/>
        </w:rPr>
        <w:t>E. 2.8.4</w:t>
      </w:r>
    </w:p>
    <w:p>
      <w:r>
        <w:t>Von der Menge an produzierter Energie hängt massgeblich ab, wie sich die Abgabe einer in absoluten Zahlen bestimmten Dotierwassermenge auf die Erlösminderung in Prozenten auswirkt, denn je kleiner die Energieproduktion, desto stärker fällt die Dotierwassermenge ins Gewicht. Die von den kantonalen Behörden zur Ermittlung der jährlichen Durchschnittsproduktion herangezogene 5-Jahres-Periode erweist sich als nicht repräsentativ. Die Jahre 2003, 2005 und 2006 waren aussergewöhnlich niederschlagsarm, sodass die Menge des produzierten Stroms rund 20 % tiefer lag als im langjährigen Schnitt, d.h. bei 238,695 Mio. kWh verglichen mit 288,708 Mio. kWh beim Abstellen auf eine 10-Jahres-Periode. Auch weisen die Beschwerdeführer insoweit zu Recht auf die Bestimmung von Art. 4 lit. h GSchG hin, wonach die massgebliche (natürliche) Abflussmenge aufgrund einer 10-Jahres-Periode zu ermitteln ist. Ein 10-Jahres-Mittel bietet sich deshalb nach Meinung des Gesetzgebers als genügend repräsentativ an. Soweit die Beschwerdegegnerin in ihrer Vernehmlassung auf Art. 41f Abs. 2 lit. b der Gewässerschutzverordnung vom 28. Oktober 1998 (GSchV; SR 814.201) verweist, wonach die Abflussmengen über einen Zeitraum von fünf Jahren zu bestimmen sind, kann sie BGE 139 II 28 S. 40 hieraus nichts zu ihren Gunsten ableiten. Art. 41f Abs. 2 lit. b GSchV betrifft Massnahmen zur Sanierung bei Schwall und Sunk, d.h. durch die Turbinierung künstlich erzeugte Abflussmengen, und ist deshalb insoweit nicht einschlägig. Aus dieser mit der Restwassersanierung nicht direkt verwandten Thematik können mithin für die Frage der im zu beurteilenden Fall sachgerechterweise anzuwendenden Referenzperiode keine Rückschlüsse gezogen werden. Letztlich kann aber offengelassen werden, ob das Abstellen auf eine 5-Jahres-Periode in jedem Fall unzulässig ist. Vielmehr genügt es festzustellen, dass vorliegend eine nicht aussagekräftige bzw. nicht repräsentative, weil ausserordentlich trockene Periode von fünf Jahren gewählt wurde. Nach dem Gesagten hätte die Berechnung der Produktionseinbusse somit sachgerechterweise auf der Basis einer produzierten Strommenge von 288,708 Mio. kWh pro Jahr erfolgen sollen.</w:t>
      </w:r>
    </w:p>
    <w:p>
      <w:r>
        <w:rPr>
          <w:b/>
        </w:rPr>
        <w:t>E. 2.8.5</w:t>
      </w:r>
    </w:p>
    <w:p>
      <w:r>
        <w:t>Aus dem Ausgeführten (E. 2.8.3 und 2.8.4) ergibt sich, dass die ausschliesslich angeordnete Dotierung der Entnahme Curina (Moesa) mit einer Jahreswassermenge von 4,734 Mio. m</w:t>
      </w:r>
    </w:p>
    <w:p>
      <w:r>
        <w:rPr>
          <w:b/>
        </w:rPr>
        <w:t>E. 2.8.6</w:t>
      </w:r>
    </w:p>
    <w:p>
      <w:r>
        <w:t>Ginge man in Übereinstimmung mit der Auffassung des BAFU davon aus, dass Produktionseinbussen von bis zu 8 % in aller Regel als zumutbar gelten, wären im zu beurteilenden Fall alle drei erwähnten Sanierungsmassnahmen für die Beschwerdegegnerin BGE 139 II 28 S. 42 zumutbar. Gestützt auf die Akten erscheinen aber zumindest die Erhöhung der Jahresdotierwassermengebei der Entnahme Curina (Moesa)auf 6,312 Mio. m</w:t>
      </w:r>
    </w:p>
    <w:p>
      <w:r>
        <w:rPr>
          <w:b/>
        </w:rPr>
        <w:t>E. 3</w:t>
      </w:r>
    </w:p>
    <w:p>
      <w:r>
        <w:t>und die Anordnung einer Dotierwassermenge von60 l/s bei der Entnahme Valbella (Calancasca) sowie der Bau einer Fischtreppe als für die Beschwerdegegnerin wirtschaftlich tragbar. Für eine abschliessende Beurteilung fehlen allerdings die Grundlagen, da die Regierung und die Vorinstanz, wie erwähnt, darauf verzichtet haben, eine konkrete Evaluation der Auswirkungen der Sanierungsmassnahmen in Valbella (Calancasca) und in Isola (Moesa) vorzunehmen (vgl. nicht publ. E. 2.4). Die Regierung wird daher ausgehend von einer (auf aktuellen Produktionszahlen basierenden) 10-Jahres-Periode die jährliche Durchschnittsproduktion zu bestimmen und gestützt darauf die konkreten wirtschaftlichen Folgen der einzelnen Sanierungsmassnahmen für die Beschwerdegegnerin abzuklären, d.h. insbesondere die sich daraus ergebenden Erlöseinbussen zu errechnen haben. Auf dieser Grundlage wird sie die wirtschaftlich tragbaren Massnahmen anzuordnen haben. Dabei ist es der Regierung bei ihrer Neubeurteilung unbenommen, die verworfene Massnahme des Baus eines Ausgleichsbeckens in Cromaiò, welche einen ausserordentlich hohen ökologischen Gewinn von 1'210 Punkten brächte und zugleich als Sanierungsmassnahme für die Schwall/Sunk-Problematik ( Art. 39a GSchG ) gelten könnte, ohne dass damit eine Produktionsminderung verbunden wäre, als mögliche Alternative noch vertiefter abzuklären. Die Beschwerde ist damit, soweit Art. 80 Abs. 1 GSchG betreffend, gutzuheissen, und die Angelegenheit ist zur neuen Beurteilung und zur Anordnung weitergehender Massnahmen an die Regierung zurückzuweisen.</w:t>
      </w:r>
    </w:p>
    <w:p>
      <w:r>
        <w:rPr>
          <w:b/>
        </w:rPr>
        <w:t>E. 3.1</w:t>
      </w:r>
    </w:p>
    <w:p>
      <w:r>
        <w:t>Gemäss Art. 80 Abs. 2 GSchG ordnet die Behörde über Art. 80 Abs. 1 GSchG hinausgehende Sanierungsmassnahmen an, wenn es sich um Fliessgewässer in Landschaften oder Lebensräumen handelt, die in nationalen oder kantonalen Inventaren aufgeführt sind, oder wenn dies andere überwiegende öffentliche Interessen fordern. Das Verfahren für die Feststellung der Entschädigungspflicht und die Festsetzung der Entschädigung richtet sich nach dem Bundesgesetz vom 20. Juni 1930 über die Enteignung (EntG; SR 711).</w:t>
      </w:r>
    </w:p>
    <w:p>
      <w:r>
        <w:rPr>
          <w:b/>
        </w:rPr>
        <w:t>E. 3.2</w:t>
      </w:r>
    </w:p>
    <w:p>
      <w:r>
        <w:t>Grundlage des Beschlusses der Regierung und des bestätigenden Entscheids der Vorinstanz bildet der Bericht des ANU zur Sanierung von Gewässern i.S. von Art. 80 Abs. 2 GSchG vom 6. August BGE 139 II 28 S. 43 2009 (vgl. auch Sachverhalt lit. A.). Darin untersuchte das ANU aus der Sicht des Landschaftsschutzes und der Wahrung der Lebensräume und Auengebiete die von Wasserfassungen beeinflussten Gewässerstrecken der Calancasca und der Moesa. Entlang der Calancasca sind das Auengebiet von nationaler Bedeutung A-166 Pian di Alné und das Amphibienlaichgebiet von nationaler Bedeutung AM-251 Pian di Alné betroffen. Im Weiteren liegen die regionalen Auengebiete A-2'502 Spülügh und A-2'506 Tandet und die regionalen Landschaftsschutzgebiete L-1'501 hinteres Calancascatal und L-1'503 Calancasca von Rossa bis Buseno im Einflussbereich der Restwasserstrecke. Entlang der Restwasserstrecke der Moesa handelt es sich um die Auengebiete von nationaler Bedeutung A-162 Pomareda und A-164 Canton. Ferner befinden sich in diesem Bereich die Auengebiete von regionaler Bedeutung A-2'401 Andrana und A-2'406 Mot de Creuc. Das ANU hielt in seiner Gesamtbeurteilung bezüglich der Wasserentnahmen an der Calancasca fest, unter Sanierungsgesichtspunkten i.S. von Art. 80 Abs. 2 GSchG relevant seien das Auengebiet und das Amphibienlaichgebiet Pian di Alné. Im Ergebnis sei jedoch insoweit auf eine weitergehende Sanierung der Fassung Valbella zu verzichten, weil zur nachhaltigen Verbesserung des Wasserhaushalts im Gebiet Pian di Alné nach heutiger Einschätzung eine um das 10- bis 20-fach höhere Dotierwassermenge erforderlich wäre als zur Erreichung der fischereilichen Sanierungsziele gemäss Art. 80 Abs. 1 GSchG . Ebenso sei in Bezug auf die Wasserentnahmen an der Moesa aus Prioritätsgründen von einer weitergehenden Sanierung der Fassungen Isola und Curina im Sinne von Art. 80 Abs. 2 GSchG abzusehen. Das insoweit massgeblich tangierte Auengebiet A-2'401 Andrana habe zwar ein grosses Potenzial. Es sei jedoch nur von regionaler Bedeutung. Zudem könne mittels einer Optimierung des Spülregimes eine ökologische Verbesserung erzielt werden (vgl. zum Ganzen den Bericht des ANU zur Sanierung von Gewässern i.S. von Art. 80 Abs. 2 GSchG vom 6. August 2009).</w:t>
      </w:r>
    </w:p>
    <w:p>
      <w:r>
        <w:rPr>
          <w:b/>
        </w:rPr>
        <w:t>E. 3.3</w:t>
      </w:r>
    </w:p>
    <w:p>
      <w:r>
        <w:t>Die Regierung schloss sich in ihrem Beschluss vom 24. November 2009 der Einschätzung des ANU an, wonach die Wasserentnahmen der Beschwerdegegnerin keine Objekte tangieren würden, deren Sanierung kantonsweit höchste Dringlichkeit eingeräumt werden müsste. Eine Priorisierung der Objekte von nationaler gegenüber jenen von bloss regionaler Bedeutung (wie das Auengebiet A-2'401 Andrana) sei zulässig. Zudem betonte die Regierung, eine allfällige BGE 139 II 28 S. 44 Änderung der Spülbewilligungen werde in einem separaten und zeitlich nachgeschalteten Verfahren geprüft. Dieses Vorgehen eröffne die Möglichkeit, die Spülungen nach Massgabe der konkreten Umstände festzusetzen und namentlich die von der Restwassersanierung bewirkten ökologischen Verbesserungen einzubeziehen. lm Anschluss an die Restwassersanierung werde somit zu klären sein, wie kraftwerksbedingte Defizite im Geschiebehaushalt durch eine Anpassung der Spülbewilligungen vermindert werden könnten.</w:t>
      </w:r>
    </w:p>
    <w:p>
      <w:r>
        <w:rPr>
          <w:b/>
        </w:rPr>
        <w:t>E. 3.4</w:t>
      </w:r>
    </w:p>
    <w:p>
      <w:r>
        <w:t>Die Vorinstanz hat erwogen, da nach den Feststellungen des ANU zur Aufwertung des Auengebiets von nationaler Bedeutung A-166 Pian di Alné eine 10- bis 20-fach höhere Dotierung des Restwassers bei der Fassung Valbella (Calancasca) erforderlich wäre, sei diese Massnahme unverhältnismässig. Auch in Bezug auf die Wasserentnahmen an der Moesa sei auf eine Sanierung im Sinne von Art. 80 Abs. 2 GSchG zu verzichten. Bezüglich der Auenlandschaft A-2'401 Andrana könne das Sanierungsziel bereits durch die Sanierungsmassnahme nach Art. 80 Abs. 1 GSchG erreicht werden, und bei den weiter talwärts gelegenen Auengebieten A-162 Pomareda und A-164 Canton erweise sich die aktuelle Situation als mit den Grundsätzen des Bundesrechts vereinbar. Entlang der von der Entnahme Isola betroffenen Gewässerstrecke befänden sich keine inventarisierten Objekte, welche Sanierungsmassnahmen gemäss Art. 80 Abs. 2 GSchG erfordern würden. Eine Koordination der Restwassersanierungen mit den Massnahmen für ein wirksameres Spülregime sei nicht zwingend, da das von der Regierung beschlossene 5-jährige Monitoring gewährleiste, dass das Spülregime im Hinblick auf den Schutz der Auengebiete gezielt korrigiert werden könne.</w:t>
      </w:r>
    </w:p>
    <w:p>
      <w:r>
        <w:rPr>
          <w:b/>
        </w:rPr>
        <w:t>E. 3.5</w:t>
      </w:r>
    </w:p>
    <w:p>
      <w:r>
        <w:t>Die Beschwerdeführer bringen vor, im Rahmen von Art. 80 Abs. 2 GSchG sei zu prüfen, inwieweit die Schutzziele der kantonalen und nationalen Inventare mit verhältnismässigem Aufwand erreicht werden könnten. Angesichts der zahlreichen inventarisierten Objekte in den Restwasserstrecken der Calancasca und der Moesa sei der Handlungsbedarf im Sinne von Art. 80 Abs. 2 GSchG ausgewiesen. Die Beeinträchtigungen der Schutzgebiete und die möglichen Sanierungsmassnahmen hätten daher im Hinblick auf die Schutzziele aufgrund einer detaillierten ökologischen Beurteilung ermittelt werden müssen. Die kantonalen Behörden hätten es jedoch unterlassen zu untersuchen, welche Massnahmen in Frage kämen, um die dringendsten Verbesserungen der Situation herbeizuführen. BGE 139 II 28 S. 45 Ebenso wenig seien die Kosten möglicher Sanierungsmassnahmen ausgewiesen worden. Die Argumentation der Vorinstanz, welche darauf hinauslaufe, dass nur Objekte von nationaler Bedeutung im Rahmen von Art. 80 Abs. 2 GSchG saniert werden könnten, sei gesetzeswidrig. Ferner sei auch eine konkrete Prioritätensetzung des Kantons nicht erkennbar.</w:t>
      </w:r>
    </w:p>
    <w:p>
      <w:r>
        <w:rPr>
          <w:b/>
        </w:rPr>
        <w:t>E. 3.6</w:t>
      </w:r>
    </w:p>
    <w:p>
      <w:r>
        <w:t>In seiner Stellungnahme führt das BAFU aus, zur Verbesserung der Situation bei den beeinträchtigten Auengebieten seien wesentlich grössere Dotierwassermengen nötig, als zur Sanierung nach Art. 80 Abs. 1 GSchG vorgeschlagen worden sei. Zu beanstanden sei, dass das Ausmass dieser zur Schutzzielerreichung höheren Dotierung von den kantonalen Behörden nicht hinreichend quantifiziert und nicht nachvollziehbar begründet worden sei. Erforderlich sei daher eine Ergänzung des Sachverhalts in dem Sinne, dass für jede einzelne Fassung in den inventarisierten Gebieten festgestellt werde, ob und wie weit die Erreichung des Schutzziels eine Ausweitung des nach Art. 80 Abs. 1 GSchG bestimmten Sanierungsumfangs verlange. Damit die betreffenden Schutzziele wenigstens teilweise erreicht werden könnten, seien weitergehende Sanierungsmassnahmen aus Sicht des Biotop- und Artenschutzes geboten. Mangels quantitativer Angaben sei eine Beurteilung gemäss Art. 80 Abs. 2 GSchG jedoch nicht möglich.</w:t>
      </w:r>
    </w:p>
    <w:p>
      <w:r>
        <w:rPr>
          <w:b/>
        </w:rPr>
        <w:t>E. 3.7</w:t>
      </w:r>
    </w:p>
    <w:p>
      <w:r>
        <w:t>Zwischen Art. 80 Abs. 1 und Art. 80 Abs. 2 GSchG besteht ein enger Zusammenhang. Erst wenn der Rahmen von Art. 80 Abs. 1 GSchG bestimmt ist, kann beurteilt werden, ob eine weitergehende Sanierung nach Art. 80 Abs. 2 GSchG notwendig ist und, wenn ja, welchen Umfang diese haben soll (vgl. hierzu Mitteilung Nr. 39 des BAFU zum Gewässerschutz, Wasserentnahmen, Vorgehen bei der Sanierung nach Art. 80 Abs. 2 GSchG , S. 12 f. und 66 f.). Im Rahmen von Art. 80 Abs. 2 GSchG ist für jenen Teil der Sanierung, welcher über das nach Art. 80 Abs. 1 GSchG Gebotene hinausgeht, eine Interessenabwägung vorzunehmen. Ausgangspunkt bildet das Sanierungsziel. Massgebend sind vorliegend die Schutzziele der Inventarobjekte, welche sich für Auen namentlich aus Art. 4 der Verordnung vom 28. Oktober 1992 über den Schutz der Auengebiete von nationaler Bedeutung (Auenverordnung; SR 451.31) und für Amphibienlaichgebiete aus Art. 6 der Verordnung vom 15. Juni 2001 über den Schutz der Amphibienlaichgebiete von nationaler Bedeutung (Amphibienlaichgebiete-Verordnung, AIgV; SR 451.34) BGE 139 II 28 S. 46 ergeben. Wie weit das Schutzziel erreicht werden kann, ist in Berücksichtigung der verschiedenen privaten und öffentlichen Interessen und unter Berücksichtigung des Grundsatzes der Verhältnismässigkeit festzulegen (vgl. RIVA, a.a.O., S. 144 ff.). Unter dem Aspekt der Verhältnismässigkeit im engeren Sinn ist zu prüfen, ob sich der Eingriff angesichts seiner Schwere und des damit erreichbaren Nutzens lohnt. Wenn ein Missverhältnis zwischen dem Eingriffszweck und der Eingriffswirkung vorliegt, erweist sich die Massnahme als unverhältnismässig. In der Botschaft des Bundesrats vom 29. April 1987 zur Volksinitiative "zur Rettung unserer Gewässer" und zur Revision des GSchG wurde in diesem Zusammenhang ausgeführt, Sanierungsmassnahmen nach Art. 80 Abs. 2 GSchG seien nur so weit anzuordnen, als es zur dringend notwendigen Verbesserung der Situation gerade noch geboten sei. Es dürfe deshalb angenommen werden, dass die Entschädigungen ein vertretbares Mass nicht überstiegen (BBl 1987 II 1171). Da die Massnahmen regelmässig in verliehene, wohlerworbene Rechte eingreifen und eine Enteignungsentschädigung auslösen, würde ein anderes Verständnis auch den Rahmen des finanziell Möglichen sprengen. Dementsprechend ist eine Fokussierung auf die wichtigsten Massnahmen unabdingbar. Eine Priorisierung von Objekten von nationaler Bedeutung ist dabei grundsätzlich zulässig, darf aber nicht dazu führen, dass Objekte von regionaler Bedeutung von vornherein aus dem Schutzbereich von Art. 80 Abs. 2 GSchG herausfallen, da dies dem Wortlaut der Bestimmung zuwiderlaufen würde.</w:t>
      </w:r>
    </w:p>
    <w:p>
      <w:r>
        <w:rPr>
          <w:b/>
        </w:rPr>
        <w:t>E. 3.8.1</w:t>
      </w:r>
    </w:p>
    <w:p>
      <w:r>
        <w:t>Für den Entscheid über Sanierungen gemäss Art. 80 Abs. 2 GSchG müssen in der Regel gründliche und umfassende Abklärungen getroffen werden. Die Regierung hat sich insoweit mit relativ summarischen und zum Teil zusammenfassenden Ausführungen begnügt. Dennoch hält das Vorgehen der bundesgerichtlichen Überprüfung stand, da der Bericht des ANU zur Sanierung von Gewässern i.S. von Art. 80 Abs. 2 GSchG vom 6. August 2009 entgegen der Auffassung des BAFU eine verlässliche Beurteilung erlaubt (vgl. E. 3.8.2 und 3.8.3 hiernach). Dass das ANU dabei erklärte, es fühle sich an einen früheren Regierungsbeschluss aus dem Jahr 1995 betreffend die Wasserrechtsverleihung des (nicht realisierten) Saisonspeicherwerks Curciusa gebunden (vgl. den Bericht des ANU zur Sanierung von Gewässern i.S. von Art. 80 Abs. 2 GSchG vom BGE 139 II 28 S. 47</w:t>
      </w:r>
    </w:p>
    <w:p>
      <w:r>
        <w:rPr>
          <w:b/>
        </w:rPr>
        <w:t>E. 3.8.2</w:t>
      </w:r>
    </w:p>
    <w:p>
      <w:r>
        <w:t>Aus dem Bericht des ANU zur Sanierung von Gewässern i.S. von Art. 80 Abs. 2 GSchG vom 6. August 2009 ergibt sich, dass die Möglichkeiten zur sinnvollen Einflussnahme beschränkt sind. Unterhalb der Fassung Valbella besteht aus der Sicht des Biotop- und Artenschutzes, aber auch des Landschaftsschutzes zwar ein hohes Sanierungsinteresse. Hier befinden sich verschiedene recht stark beeinträchtigte inventarisierte Gebiete, insbesondere das Auen- und das Amphibienlaichgebiet Pian di Alné (A-166 bzw. AM-251). Indessen würde eine Sanierung dieser Gebiete das 10- bis 20-Fache der fischereilich nötigen Dotierwassermenge von 60 l/s erfordern, was den Rahmen des Machbaren eindeutig sprengt. Genauere quantitative Angaben erscheinen entgegen der Auffassung des BAFU entbehrlich, da auch eine 10-fach höhere Dotierung unverhältnismässig wäre. Sodann kann eine Optimierung des Geschiebehaushalts nach der (von den Beschwerdeführern nicht substanziiert bestrittenen) Auffassung der kantonalen Behörden im Rahmen von Spülbewilligungen nach Art. 40 GSchG erreicht werden.</w:t>
      </w:r>
    </w:p>
    <w:p>
      <w:r>
        <w:rPr>
          <w:b/>
        </w:rPr>
        <w:t>E. 3.8.3</w:t>
      </w:r>
    </w:p>
    <w:p>
      <w:r>
        <w:t>Bezüglich der Moesa durfte die Vorinstanz, ohne Bundesrecht zu verletzen, davon ausgehen, dass sich die nachgelagerten Auengebiete von nationaler Bedeutung A-162 Pomareda und A-164 Canton in einem Zustand befinden, der keine dringenden Massnahmen nach Art. 80 Abs. 2 GSchG erfordert. Mit einer Erhöhung der Dotierwassermenge bei der Entnahme Curina liesse sich aber ohnehin keine wesentliche Verbesserung der Standortbedingungen für die Auenvegetation in Pomareda und Canton erzielen (vgl. Bericht des BGE 139 II 28 S. 48 ANU zur Sanierung von Gewässern i.S. von Art. 80 Abs. 2 GSchG vom 6. August 2009). Hingegen könnte mit einer solchen Massnahme das regionale Auengebiet (und Flachmoor) A-2'401 Andrana aufgewertet werden, was jedoch bereits durch die Sanierung nach Art. 80 Abs. 1 GSchG erreicht werden kann. So kann nach der Auffassung des ANU eine Jahresdotierwassermenge von 6,3 Mio. m 3 vor allem in den Übergangsmonaten vor Beginn der Schneeschmelze und ab Spätsommer einen substanziellen Beitrag an den Wasserhaushalt und damit an die Erhaltung dieses Auengebiets inklusive des Flachmoors leisten (vgl. Bericht des ANU zur Sanierung von Gewässern i.S. von Art. 80 Abs. 2 GSchG vom 6. August 2009). Der mögliche Geschiebeeintrag im Auengebiet Andrana ist nur kurzzeitig und stossweise, weshalb sich die Regierung insoweit eine Regelung im Rahmen von Spülbewilligungen vorbehalten durfte (vgl. hierzu den Bericht des ANU zur Sanierung von Gewässern i.S. von Art. 80 Abs. 2 GSchG vom 6. August 2009). Schliesslich ist der obere Teil der Moesa vom Stausee Isola bis zur Entnahme Curina mit der Trockenlegung unterhalb der Staumauer zwar gravierend beeinträchtigt. Indessen sind hier keine inventarisierten Lebensräume betroffen, weshalb auf weitergehende Massnahmen nach Art. 80 Abs. 2 GSchG verzichtet werden durfte.</w:t>
      </w:r>
    </w:p>
    <w:p>
      <w:r>
        <w:rPr>
          <w:b/>
        </w:rPr>
        <w:t>E. 3.8.4</w:t>
      </w:r>
    </w:p>
    <w:p>
      <w:r>
        <w:t>Zusammenfassend ist unter dem Blickwinkel von Art. 80 Abs. 2 GSchG somit festzuhalten, dass bezüglich des Auengebiets von regionaler Bedeutung A-2'401 Andrana in der Restwasserstrecke der Moesa eine jährliche Dotierwassermenge von 6,3 Mio. m 3 als "absolut minimale" Sanierungsmassnahme anzusehen ist (vgl. auch E. 2.8.2 hiervor). Ordnet die Regierung gestützt auf die geänderten Grundlagen - zumutbare Erlösminderung von über 5 % und 10-Jahres-Periode zur Bestimmung der jährlichen Durchschnittsproduktion (vgl. E. 2.8.3 und 2.8.4 hiervor) - in ihrem neuen Beschluss im Rahmen von Art. 80 Abs. 1 GSchG die entsprechende jährliche Dotierwassermenge an, so verletzt es kein Bundesrecht, von Sanierungsmassnahmen im Sinne von Art. 80 Abs. 2 GSchG abzusehen und das Geschiebeproblem mittels einer Optimierung des Spülregimes bei der Fassung Curina anzugehen. Damit ist gleichzeitig gesagt, dass die Regierung mit der von ihr vorgenommenen Beschränkung der Massnahmen nach Art. 80 Abs. 1 GSchG auf die Festsetzung einer Jahreswassermenge von (nur) 4,734 Mio. m 3 bei der Fassung Curina weitergehende BGE 139 II 28 S. 49 Massnahmen nach Art. 80 Abs. 2 GSchG nicht von vornherein hätte verwerfen dürfen. Die Beschwerdeführer haben damit die Verletzung von Art. 80 Abs. 2 GSchG , soweit die Restwasserstrecke der Moesa betreffend, zu Recht mit beanstandet.</w:t>
      </w:r>
    </w:p>
    <w:p>
      <w:r>
        <w:rPr>
          <w:b/>
        </w:rPr>
        <w:t>E. 6</w:t>
      </w:r>
    </w:p>
    <w:p>
      <w:r>
        <w:t>August 2009), ist entgegen der Auffassung der Beschwerdeführer nichtentscheidend. Von Bedeutung ist vielmehr, ob die konkrete Beurteilung der heutigen Situation Art. 80 Abs. 2 GSchG verletzt. Ebenso wenig von Entscheidrelevanz ist entgegen den Ausführungen in der Beschwerde, dass die Vorinstanz in ihrer Entscheidbegründungzu Unrecht davon ausgegangen ist, Massnahmen nach Art. 80 Abs. 2GSchG müssten sich auf die längs der Wasserentnahmestrecken gelegenen Objekte begrenzen, die zeitlich vor der Wasserfassung inventarisiert wurden. Von den Beschwerdeführern wird nicht aufgezeigt und es ist auch nicht ersichtlich, dass sich diese Feststellungder Vorinstanz auf das Ergebnis ausgewirkt hätte. Zu prüfen ist, ob der angefochtene Entscheid bezogen auf die inventarisierten Gebiete an der Calancasca (nachfolgend E. 3.8.2) und an der Moesa (nachfolgend E. 3.8.3)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